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C0" w:rsidRPr="003473C0" w:rsidRDefault="003473C0" w:rsidP="003473C0">
      <w:pPr>
        <w:shd w:val="clear" w:color="auto" w:fill="FEFEFE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Политика в отношении обработки персональных данных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</w:t>
      </w:r>
      <w:bookmarkStart w:id="0" w:name="_GoBack"/>
      <w:bookmarkEnd w:id="0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данных и меры по обеспечению безопасности персональных данных, предпринимаемые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Жукова Любовь Геннадьевна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— Оператор).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https://ynikym-n.ukit.me/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https://ynikym-n.ukit.me/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https://ynikym-n.ukit.me/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https://ynikym-n.ukit.me/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— исполнять иные обязанности, предусмотренные Законом о персональных данных.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Основные права и обязанности субъектов персональных данных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Принципы обработки персональных данных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неполных</w:t>
      </w:r>
      <w:proofErr w:type="gramEnd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неточных данных.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федеральным законом, договором, стороной которого, выгодоприобретателем или </w:t>
      </w:r>
      <w:proofErr w:type="gramStart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3473C0" w:rsidRPr="003473C0" w:rsidTr="003473C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3473C0" w:rsidRPr="003473C0" w:rsidTr="003473C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3473C0" w:rsidRPr="003473C0" w:rsidRDefault="003473C0" w:rsidP="003473C0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3473C0" w:rsidRPr="003473C0" w:rsidRDefault="003473C0" w:rsidP="003473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3473C0" w:rsidRPr="003473C0" w:rsidTr="003473C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</w:tc>
      </w:tr>
      <w:tr w:rsidR="003473C0" w:rsidRPr="003473C0" w:rsidTr="003473C0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473C0" w:rsidRPr="003473C0" w:rsidRDefault="003473C0" w:rsidP="003473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3C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Условия обработки персональных данных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ljubascha@bk.ru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ljubascha@bk.ru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поручителем</w:t>
      </w:r>
      <w:proofErr w:type="gramEnd"/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Перечень действий, производимых Оператором с полученными персональными данными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Трансграничная передача персональных данных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Конфиденциальность персональных данных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3473C0" w:rsidRPr="003473C0" w:rsidRDefault="003473C0" w:rsidP="003473C0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 Заключительные положения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ljubascha@bk.ru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3473C0" w:rsidRPr="003473C0" w:rsidRDefault="003473C0" w:rsidP="003473C0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3473C0" w:rsidRPr="003473C0" w:rsidRDefault="003473C0" w:rsidP="003473C0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CF8E3"/>
          <w:lang w:eastAsia="ru-RU"/>
        </w:rPr>
        <w:t>https://ynikym-n.ukit.me/</w:t>
      </w:r>
      <w:r w:rsidRPr="003473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A534D8" w:rsidRDefault="00A534D8"/>
    <w:sectPr w:rsidR="00A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4B25"/>
    <w:multiLevelType w:val="multilevel"/>
    <w:tmpl w:val="1378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95944"/>
    <w:multiLevelType w:val="multilevel"/>
    <w:tmpl w:val="8EC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845E3"/>
    <w:multiLevelType w:val="multilevel"/>
    <w:tmpl w:val="917E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DE"/>
    <w:rsid w:val="003473C0"/>
    <w:rsid w:val="00870035"/>
    <w:rsid w:val="00A134DE"/>
    <w:rsid w:val="00A534D8"/>
    <w:rsid w:val="00E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7B1C7-0CFF-4DFA-BEB5-F413B92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30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22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6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3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70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48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74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8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57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92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9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58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0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34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8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65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3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474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6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2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8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3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83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6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1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2592</Words>
  <Characters>14779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2024-02-26T05:50:00Z</dcterms:created>
  <dcterms:modified xsi:type="dcterms:W3CDTF">2024-02-26T05:51:00Z</dcterms:modified>
</cp:coreProperties>
</file>